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AD33DA" w14:textId="77777777" w:rsidR="0030363A" w:rsidRDefault="00000000">
      <w:pPr>
        <w:jc w:val="center"/>
        <w:rPr>
          <w:rStyle w:val="a4"/>
          <w:rFonts w:ascii="方正小标宋简体" w:eastAsia="方正小标宋简体"/>
          <w:color w:val="000000"/>
          <w:sz w:val="36"/>
          <w:szCs w:val="36"/>
          <w:u w:val="none"/>
        </w:rPr>
      </w:pPr>
      <w:r>
        <w:fldChar w:fldCharType="begin"/>
      </w:r>
      <w:r>
        <w:instrText xml:space="preserve"> HYPERLINK "http://www.gzagri.gov.cn/gzsnyj/tzgg/201804/310eb8f6b3c5472a8fa2d750b64bc3c3/files/b5e3354580ee450dbb7ad223b7788778.doc" </w:instrText>
      </w:r>
      <w:r>
        <w:fldChar w:fldCharType="separate"/>
      </w:r>
      <w:r>
        <w:rPr>
          <w:rStyle w:val="a4"/>
          <w:rFonts w:ascii="方正小标宋简体" w:eastAsia="方正小标宋简体" w:hAnsi="微软雅黑" w:hint="eastAsia"/>
          <w:color w:val="000000"/>
          <w:sz w:val="36"/>
          <w:szCs w:val="36"/>
          <w:u w:val="none"/>
        </w:rPr>
        <w:t>2024年广州</w:t>
      </w:r>
      <w:proofErr w:type="gramStart"/>
      <w:r>
        <w:rPr>
          <w:rStyle w:val="a4"/>
          <w:rFonts w:ascii="方正小标宋简体" w:eastAsia="方正小标宋简体" w:hAnsi="微软雅黑" w:hint="eastAsia"/>
          <w:color w:val="000000"/>
          <w:sz w:val="36"/>
          <w:szCs w:val="36"/>
          <w:u w:val="none"/>
        </w:rPr>
        <w:t>农业电</w:t>
      </w:r>
      <w:proofErr w:type="gramEnd"/>
      <w:r>
        <w:rPr>
          <w:rStyle w:val="a4"/>
          <w:rFonts w:ascii="方正小标宋简体" w:eastAsia="方正小标宋简体" w:hAnsi="微软雅黑" w:hint="eastAsia"/>
          <w:color w:val="000000"/>
          <w:sz w:val="36"/>
          <w:szCs w:val="36"/>
          <w:u w:val="none"/>
        </w:rPr>
        <w:t>商应用推广活动服务</w:t>
      </w:r>
      <w:r>
        <w:rPr>
          <w:rFonts w:ascii="方正小标宋简体" w:eastAsia="方正小标宋简体" w:hAnsi="微软雅黑"/>
          <w:color w:val="000000"/>
          <w:sz w:val="36"/>
          <w:szCs w:val="36"/>
        </w:rPr>
        <w:fldChar w:fldCharType="end"/>
      </w:r>
      <w:r>
        <w:rPr>
          <w:rStyle w:val="a4"/>
          <w:rFonts w:ascii="方正小标宋简体" w:eastAsia="方正小标宋简体" w:hAnsi="微软雅黑" w:hint="eastAsia"/>
          <w:color w:val="000000"/>
          <w:sz w:val="36"/>
          <w:szCs w:val="36"/>
          <w:u w:val="none"/>
        </w:rPr>
        <w:t>需求</w:t>
      </w:r>
    </w:p>
    <w:p w14:paraId="45AAF33C" w14:textId="77777777" w:rsidR="0030363A" w:rsidRDefault="0030363A">
      <w:pPr>
        <w:ind w:firstLineChars="200" w:firstLine="640"/>
        <w:rPr>
          <w:rFonts w:ascii="楷体_GB2312" w:eastAsia="楷体_GB2312" w:hAnsi="仿宋"/>
          <w:b/>
          <w:sz w:val="32"/>
          <w:szCs w:val="32"/>
          <w:highlight w:val="white"/>
        </w:rPr>
      </w:pPr>
    </w:p>
    <w:p w14:paraId="4A4211BF" w14:textId="77777777" w:rsidR="0030363A" w:rsidRDefault="00000000">
      <w:pPr>
        <w:ind w:firstLineChars="200" w:firstLine="640"/>
        <w:rPr>
          <w:rFonts w:ascii="楷体_GB2312" w:eastAsia="楷体_GB2312" w:hAnsi="仿宋"/>
          <w:b/>
          <w:sz w:val="32"/>
          <w:szCs w:val="32"/>
        </w:rPr>
      </w:pPr>
      <w:r>
        <w:rPr>
          <w:rFonts w:ascii="楷体_GB2312" w:eastAsia="楷体_GB2312" w:hAnsi="仿宋" w:hint="eastAsia"/>
          <w:b/>
          <w:sz w:val="32"/>
          <w:szCs w:val="32"/>
          <w:highlight w:val="white"/>
        </w:rPr>
        <w:t>一、投标人资格要求</w:t>
      </w:r>
    </w:p>
    <w:p w14:paraId="63AFBB21" w14:textId="77777777" w:rsidR="0030363A" w:rsidRDefault="00000000">
      <w:pPr>
        <w:ind w:firstLineChars="200" w:firstLine="640"/>
        <w:rPr>
          <w:rFonts w:ascii="仿宋" w:eastAsia="仿宋" w:hAnsi="仿宋"/>
          <w:sz w:val="32"/>
          <w:szCs w:val="32"/>
          <w:highlight w:val="green"/>
        </w:rPr>
      </w:pPr>
      <w:bookmarkStart w:id="0" w:name="EBef56cf8a3e2f4dd4bcf9d81e04fbecbd"/>
      <w:bookmarkStart w:id="1" w:name="_Toc457815845"/>
      <w:bookmarkStart w:id="2" w:name="_Toc457982242"/>
      <w:r>
        <w:rPr>
          <w:rFonts w:ascii="仿宋" w:eastAsia="仿宋" w:hAnsi="仿宋"/>
          <w:sz w:val="32"/>
          <w:szCs w:val="32"/>
          <w:highlight w:val="white"/>
        </w:rPr>
        <w:t>（一）符合《政府采购法》第二十二条所规定的条件；分公司投标的，必须由具有法人资格的总公司授权。</w:t>
      </w:r>
    </w:p>
    <w:p w14:paraId="67AACCA8" w14:textId="77777777" w:rsidR="0030363A" w:rsidRDefault="00000000">
      <w:pPr>
        <w:ind w:firstLineChars="200" w:firstLine="640"/>
        <w:rPr>
          <w:rFonts w:ascii="仿宋" w:eastAsia="仿宋" w:hAnsi="仿宋"/>
          <w:sz w:val="32"/>
          <w:szCs w:val="32"/>
          <w:highlight w:val="green"/>
        </w:rPr>
      </w:pPr>
      <w:r>
        <w:rPr>
          <w:rFonts w:ascii="仿宋" w:eastAsia="仿宋" w:hAnsi="仿宋"/>
          <w:sz w:val="32"/>
          <w:szCs w:val="32"/>
          <w:highlight w:val="white"/>
        </w:rPr>
        <w:t>（二）本项目</w:t>
      </w:r>
      <w:r>
        <w:rPr>
          <w:rFonts w:ascii="仿宋" w:eastAsia="仿宋" w:hAnsi="仿宋" w:hint="eastAsia"/>
          <w:sz w:val="32"/>
          <w:szCs w:val="32"/>
          <w:highlight w:val="white"/>
        </w:rPr>
        <w:t>可</w:t>
      </w:r>
      <w:r>
        <w:rPr>
          <w:rFonts w:ascii="仿宋" w:eastAsia="仿宋" w:hAnsi="仿宋"/>
          <w:sz w:val="32"/>
          <w:szCs w:val="32"/>
          <w:highlight w:val="white"/>
        </w:rPr>
        <w:t>接受</w:t>
      </w:r>
      <w:r>
        <w:rPr>
          <w:rFonts w:ascii="仿宋" w:eastAsia="仿宋" w:hAnsi="仿宋" w:hint="eastAsia"/>
          <w:sz w:val="32"/>
          <w:szCs w:val="32"/>
          <w:highlight w:val="white"/>
        </w:rPr>
        <w:t>符合国家政策、工商行政、民政等主管部门许可成立的社会组织</w:t>
      </w:r>
      <w:r>
        <w:rPr>
          <w:rFonts w:ascii="仿宋" w:eastAsia="仿宋" w:hAnsi="仿宋"/>
          <w:sz w:val="32"/>
          <w:szCs w:val="32"/>
          <w:highlight w:val="white"/>
        </w:rPr>
        <w:t>投标。</w:t>
      </w:r>
    </w:p>
    <w:bookmarkEnd w:id="0"/>
    <w:p w14:paraId="1E7A49E9" w14:textId="77777777" w:rsidR="0030363A" w:rsidRDefault="00000000">
      <w:pPr>
        <w:ind w:firstLineChars="200" w:firstLine="640"/>
        <w:rPr>
          <w:rFonts w:ascii="楷体_GB2312" w:eastAsia="楷体_GB2312" w:hAnsi="仿宋"/>
          <w:b/>
          <w:sz w:val="32"/>
          <w:szCs w:val="32"/>
          <w:highlight w:val="white"/>
        </w:rPr>
      </w:pPr>
      <w:r>
        <w:rPr>
          <w:rFonts w:ascii="楷体_GB2312" w:eastAsia="楷体_GB2312" w:hAnsi="仿宋" w:hint="eastAsia"/>
          <w:b/>
          <w:sz w:val="32"/>
          <w:szCs w:val="32"/>
          <w:highlight w:val="white"/>
        </w:rPr>
        <w:t>二、项目服务要求</w:t>
      </w:r>
      <w:bookmarkEnd w:id="1"/>
      <w:bookmarkEnd w:id="2"/>
    </w:p>
    <w:p w14:paraId="5472334E" w14:textId="77777777" w:rsidR="0030363A" w:rsidRDefault="00000000">
      <w:pPr>
        <w:ind w:firstLineChars="196" w:firstLine="627"/>
        <w:rPr>
          <w:rFonts w:ascii="仿宋_GB2312" w:eastAsia="仿宋_GB2312" w:hAnsi="仿宋"/>
          <w:b/>
          <w:sz w:val="32"/>
          <w:szCs w:val="32"/>
          <w:highlight w:val="white"/>
        </w:rPr>
      </w:pPr>
      <w:bookmarkStart w:id="3" w:name="_Toc457815846"/>
      <w:bookmarkStart w:id="4" w:name="_Toc457982243"/>
      <w:r>
        <w:rPr>
          <w:rFonts w:ascii="仿宋_GB2312" w:eastAsia="仿宋_GB2312" w:hAnsi="仿宋" w:hint="eastAsia"/>
          <w:b/>
          <w:sz w:val="32"/>
          <w:szCs w:val="32"/>
          <w:highlight w:val="white"/>
        </w:rPr>
        <w:t>（一）服务要求</w:t>
      </w:r>
    </w:p>
    <w:p w14:paraId="3C271200" w14:textId="77777777" w:rsidR="0030363A" w:rsidRDefault="00000000">
      <w:pPr>
        <w:ind w:firstLineChars="196" w:firstLine="627"/>
        <w:rPr>
          <w:rFonts w:ascii="仿宋_GB2312" w:eastAsia="仿宋_GB2312" w:hAnsi="仿宋"/>
          <w:b/>
          <w:sz w:val="32"/>
          <w:szCs w:val="32"/>
          <w:highlight w:val="white"/>
        </w:rPr>
      </w:pPr>
      <w:r>
        <w:rPr>
          <w:rFonts w:ascii="仿宋_GB2312" w:eastAsia="仿宋_GB2312" w:hAnsi="仿宋" w:hint="eastAsia"/>
          <w:b/>
          <w:sz w:val="32"/>
          <w:szCs w:val="32"/>
          <w:highlight w:val="white"/>
        </w:rPr>
        <w:t>1.工作内容</w:t>
      </w:r>
    </w:p>
    <w:p w14:paraId="41EA5B99"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在业主指导下，根据我市农业电子商务现状与需求进行应用推广活动方案设计，时间安排以及进行费用估算等，开展后续的应用推广活动工作。具体工作包括以下内容：</w:t>
      </w:r>
    </w:p>
    <w:p w14:paraId="56C8CF01"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（1）编制广州</w:t>
      </w:r>
      <w:proofErr w:type="gramStart"/>
      <w:r>
        <w:rPr>
          <w:rFonts w:ascii="仿宋_GB2312" w:eastAsia="仿宋_GB2312" w:hAnsi="仿宋" w:hint="eastAsia"/>
          <w:sz w:val="32"/>
          <w:szCs w:val="32"/>
        </w:rPr>
        <w:t>农业电</w:t>
      </w:r>
      <w:proofErr w:type="gramEnd"/>
      <w:r>
        <w:rPr>
          <w:rFonts w:ascii="仿宋_GB2312" w:eastAsia="仿宋_GB2312" w:hAnsi="仿宋" w:hint="eastAsia"/>
          <w:sz w:val="32"/>
          <w:szCs w:val="32"/>
        </w:rPr>
        <w:t>商应用推广活动服务项目方案及项目费用概算。提供相对较优的活动服务方案，从项目要求、组织宣传、总体设计、等多方面进行充分阐述。对该项目方案的服务内容进行费用估算，对项目费用进行实际且充分的估算并对项目的经济效益和社会效益两个方面进行分析和阐述。</w:t>
      </w:r>
    </w:p>
    <w:p w14:paraId="70BA2BB5"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（2）根据不同需求，编制广州农业电商专题教材或相关材</w:t>
      </w:r>
      <w:r>
        <w:rPr>
          <w:rFonts w:ascii="仿宋_GB2312" w:eastAsia="仿宋_GB2312" w:hAnsi="仿宋" w:hint="eastAsia"/>
          <w:sz w:val="32"/>
          <w:szCs w:val="32"/>
        </w:rPr>
        <w:lastRenderedPageBreak/>
        <w:t>料。</w:t>
      </w:r>
    </w:p>
    <w:p w14:paraId="312BB07F"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（3）在业主的指导下负责完成应用推广活动的组织和实施工作。</w:t>
      </w:r>
    </w:p>
    <w:p w14:paraId="741EC7C8"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（4）编制应用推广活动工作总结，对项目成效进行深入分析，为今后的应用推广提供建议。</w:t>
      </w:r>
    </w:p>
    <w:p w14:paraId="5BE34714" w14:textId="77777777" w:rsidR="0030363A" w:rsidRDefault="00000000">
      <w:pPr>
        <w:ind w:firstLineChars="196" w:firstLine="627"/>
        <w:rPr>
          <w:rFonts w:ascii="仿宋_GB2312" w:eastAsia="仿宋_GB2312" w:hAnsi="仿宋"/>
          <w:b/>
          <w:sz w:val="32"/>
          <w:szCs w:val="32"/>
          <w:highlight w:val="white"/>
        </w:rPr>
      </w:pPr>
      <w:bookmarkStart w:id="5" w:name="_Toc475540371"/>
      <w:r>
        <w:rPr>
          <w:rFonts w:ascii="仿宋_GB2312" w:eastAsia="仿宋_GB2312" w:hAnsi="仿宋" w:hint="eastAsia"/>
          <w:b/>
          <w:sz w:val="32"/>
          <w:szCs w:val="32"/>
        </w:rPr>
        <w:t>2.</w:t>
      </w:r>
      <w:r>
        <w:rPr>
          <w:rFonts w:ascii="仿宋_GB2312" w:eastAsia="仿宋_GB2312" w:hAnsi="仿宋" w:hint="eastAsia"/>
          <w:b/>
          <w:sz w:val="32"/>
          <w:szCs w:val="32"/>
          <w:highlight w:val="white"/>
        </w:rPr>
        <w:t>工作目标</w:t>
      </w:r>
      <w:bookmarkEnd w:id="5"/>
    </w:p>
    <w:p w14:paraId="392ABB2F" w14:textId="77777777" w:rsidR="0030363A" w:rsidRDefault="00000000">
      <w:pPr>
        <w:ind w:firstLineChars="196" w:firstLine="627"/>
        <w:rPr>
          <w:rFonts w:ascii="仿宋_GB2312" w:eastAsia="仿宋_GB2312" w:hAnsi="仿宋"/>
          <w:b/>
          <w:sz w:val="32"/>
          <w:szCs w:val="32"/>
          <w:highlight w:val="white"/>
        </w:rPr>
      </w:pPr>
      <w:r>
        <w:rPr>
          <w:rFonts w:ascii="仿宋_GB2312" w:eastAsia="仿宋_GB2312" w:hAnsi="仿宋" w:hint="eastAsia"/>
          <w:sz w:val="32"/>
          <w:szCs w:val="32"/>
        </w:rPr>
        <w:t>（1）完整性：方案必须是完整的，包括投标人实施项目工作的方方面面，并具备可操作性和</w:t>
      </w:r>
      <w:proofErr w:type="gramStart"/>
      <w:r>
        <w:rPr>
          <w:rFonts w:ascii="仿宋_GB2312" w:eastAsia="仿宋_GB2312" w:hAnsi="仿宋" w:hint="eastAsia"/>
          <w:sz w:val="32"/>
          <w:szCs w:val="32"/>
        </w:rPr>
        <w:t>可</w:t>
      </w:r>
      <w:proofErr w:type="gramEnd"/>
      <w:r>
        <w:rPr>
          <w:rFonts w:ascii="仿宋_GB2312" w:eastAsia="仿宋_GB2312" w:hAnsi="仿宋" w:hint="eastAsia"/>
          <w:sz w:val="32"/>
          <w:szCs w:val="32"/>
        </w:rPr>
        <w:t>实施性。</w:t>
      </w:r>
    </w:p>
    <w:p w14:paraId="375BC9A6" w14:textId="77777777" w:rsidR="0030363A" w:rsidRDefault="00000000">
      <w:pPr>
        <w:ind w:firstLineChars="196" w:firstLine="627"/>
        <w:rPr>
          <w:rFonts w:ascii="仿宋_GB2312" w:eastAsia="仿宋_GB2312" w:hAnsi="仿宋"/>
          <w:b/>
          <w:sz w:val="32"/>
          <w:szCs w:val="32"/>
          <w:highlight w:val="white"/>
        </w:rPr>
      </w:pPr>
      <w:r>
        <w:rPr>
          <w:rFonts w:ascii="仿宋_GB2312" w:eastAsia="仿宋_GB2312" w:hAnsi="仿宋" w:hint="eastAsia"/>
          <w:sz w:val="32"/>
          <w:szCs w:val="32"/>
        </w:rPr>
        <w:t>（2）系统性：方案需要考虑活动方式与我市</w:t>
      </w:r>
      <w:proofErr w:type="gramStart"/>
      <w:r>
        <w:rPr>
          <w:rFonts w:ascii="仿宋_GB2312" w:eastAsia="仿宋_GB2312" w:hAnsi="仿宋" w:hint="eastAsia"/>
          <w:sz w:val="32"/>
          <w:szCs w:val="32"/>
        </w:rPr>
        <w:t>农业电</w:t>
      </w:r>
      <w:proofErr w:type="gramEnd"/>
      <w:r>
        <w:rPr>
          <w:rFonts w:ascii="仿宋_GB2312" w:eastAsia="仿宋_GB2312" w:hAnsi="仿宋" w:hint="eastAsia"/>
          <w:sz w:val="32"/>
          <w:szCs w:val="32"/>
        </w:rPr>
        <w:t>商发展实际需求情况之间的逻辑关系，需要考虑通过哪种形式才能让受众接受，哪些实际经验可形成共性的借鉴，哪些是需要进一步优化的。</w:t>
      </w:r>
    </w:p>
    <w:p w14:paraId="5753BB65" w14:textId="77777777" w:rsidR="0030363A" w:rsidRDefault="00000000">
      <w:pPr>
        <w:ind w:firstLineChars="196" w:firstLine="627"/>
        <w:rPr>
          <w:rFonts w:ascii="仿宋_GB2312" w:eastAsia="仿宋_GB2312" w:hAnsi="仿宋"/>
          <w:b/>
          <w:sz w:val="32"/>
          <w:szCs w:val="32"/>
          <w:highlight w:val="white"/>
        </w:rPr>
      </w:pPr>
      <w:r>
        <w:rPr>
          <w:rFonts w:ascii="仿宋_GB2312" w:eastAsia="仿宋_GB2312" w:hAnsi="仿宋" w:hint="eastAsia"/>
          <w:sz w:val="32"/>
          <w:szCs w:val="32"/>
        </w:rPr>
        <w:t xml:space="preserve">（3）前瞻性：方案必须能提前遇见问题，及早规避问题。 </w:t>
      </w:r>
    </w:p>
    <w:p w14:paraId="42490694" w14:textId="77777777" w:rsidR="0030363A" w:rsidRDefault="00000000">
      <w:pPr>
        <w:ind w:firstLineChars="196" w:firstLine="627"/>
        <w:rPr>
          <w:rFonts w:ascii="仿宋_GB2312" w:eastAsia="仿宋_GB2312" w:hAnsi="仿宋"/>
          <w:b/>
          <w:sz w:val="32"/>
          <w:szCs w:val="32"/>
          <w:highlight w:val="white"/>
        </w:rPr>
      </w:pPr>
      <w:r>
        <w:rPr>
          <w:rFonts w:ascii="仿宋_GB2312" w:eastAsia="仿宋_GB2312" w:hAnsi="仿宋" w:hint="eastAsia"/>
          <w:sz w:val="32"/>
          <w:szCs w:val="32"/>
        </w:rPr>
        <w:t>（4）实用性：应用推广活动的内容需从我市农业实际情况出发，确保内容能融入实践技能和操作经验的总结和归纳，有较强的实用性。</w:t>
      </w:r>
    </w:p>
    <w:p w14:paraId="068E4365" w14:textId="77777777" w:rsidR="0030363A" w:rsidRDefault="00000000">
      <w:pPr>
        <w:ind w:firstLineChars="196" w:firstLine="627"/>
        <w:rPr>
          <w:rFonts w:ascii="仿宋_GB2312" w:eastAsia="仿宋_GB2312" w:hAnsi="仿宋"/>
          <w:b/>
          <w:sz w:val="32"/>
          <w:szCs w:val="32"/>
          <w:highlight w:val="white"/>
        </w:rPr>
      </w:pPr>
      <w:r>
        <w:rPr>
          <w:rFonts w:ascii="仿宋_GB2312" w:eastAsia="仿宋_GB2312" w:hAnsi="仿宋" w:hint="eastAsia"/>
          <w:sz w:val="32"/>
          <w:szCs w:val="32"/>
        </w:rPr>
        <w:t>（5）全局性：方案需使整个服务项目达到合理、可行、经济的目的。</w:t>
      </w:r>
    </w:p>
    <w:p w14:paraId="1ABC3530" w14:textId="77777777" w:rsidR="0030363A" w:rsidRDefault="00000000">
      <w:pPr>
        <w:ind w:firstLineChars="196" w:firstLine="627"/>
        <w:rPr>
          <w:rFonts w:ascii="仿宋_GB2312" w:eastAsia="仿宋_GB2312" w:hAnsi="仿宋"/>
          <w:b/>
          <w:sz w:val="32"/>
          <w:szCs w:val="32"/>
          <w:highlight w:val="white"/>
        </w:rPr>
      </w:pPr>
      <w:r>
        <w:rPr>
          <w:rFonts w:ascii="仿宋_GB2312" w:eastAsia="仿宋_GB2312" w:hAnsi="仿宋" w:hint="eastAsia"/>
          <w:sz w:val="32"/>
          <w:szCs w:val="32"/>
        </w:rPr>
        <w:t>（6）规范性：方案严格按照国家相关规定和标准来运作，需求必须遵循实际。</w:t>
      </w:r>
    </w:p>
    <w:p w14:paraId="41512E75" w14:textId="77777777" w:rsidR="0030363A" w:rsidRDefault="00000000">
      <w:pPr>
        <w:ind w:firstLineChars="196" w:firstLine="627"/>
        <w:rPr>
          <w:rFonts w:ascii="仿宋_GB2312" w:eastAsia="仿宋_GB2312" w:hAnsi="仿宋"/>
          <w:b/>
          <w:sz w:val="32"/>
          <w:szCs w:val="32"/>
          <w:highlight w:val="white"/>
        </w:rPr>
      </w:pPr>
      <w:r>
        <w:rPr>
          <w:rFonts w:ascii="仿宋_GB2312" w:eastAsia="仿宋_GB2312" w:hAnsi="仿宋" w:hint="eastAsia"/>
          <w:b/>
          <w:sz w:val="32"/>
          <w:szCs w:val="32"/>
        </w:rPr>
        <w:lastRenderedPageBreak/>
        <w:t>3.</w:t>
      </w:r>
      <w:r>
        <w:rPr>
          <w:rFonts w:ascii="仿宋_GB2312" w:eastAsia="仿宋_GB2312" w:hAnsi="仿宋" w:hint="eastAsia"/>
          <w:b/>
          <w:sz w:val="32"/>
          <w:szCs w:val="32"/>
          <w:highlight w:val="white"/>
        </w:rPr>
        <w:t>项目成果要求</w:t>
      </w:r>
    </w:p>
    <w:p w14:paraId="627004EF"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具体成果要求如下：</w:t>
      </w:r>
    </w:p>
    <w:p w14:paraId="7E7A3B22"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（1）项目相关需求调研报告。</w:t>
      </w:r>
    </w:p>
    <w:p w14:paraId="323B8049"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（2）项目活动方案及应用推广课程或相关稿件等材料。</w:t>
      </w:r>
    </w:p>
    <w:p w14:paraId="2FB550F4"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（3）项目总结分析报告。</w:t>
      </w:r>
    </w:p>
    <w:p w14:paraId="59EF71B6" w14:textId="77777777" w:rsidR="0030363A" w:rsidRDefault="00000000">
      <w:pPr>
        <w:ind w:firstLineChars="196" w:firstLine="627"/>
        <w:rPr>
          <w:rFonts w:ascii="仿宋_GB2312" w:eastAsia="仿宋_GB2312" w:hAnsi="仿宋"/>
          <w:b/>
          <w:sz w:val="32"/>
          <w:szCs w:val="32"/>
          <w:highlight w:val="white"/>
        </w:rPr>
      </w:pPr>
      <w:r>
        <w:rPr>
          <w:rFonts w:ascii="仿宋_GB2312" w:eastAsia="仿宋_GB2312" w:hAnsi="仿宋" w:hint="eastAsia"/>
          <w:b/>
          <w:sz w:val="32"/>
          <w:szCs w:val="32"/>
        </w:rPr>
        <w:t>4.</w:t>
      </w:r>
      <w:r>
        <w:rPr>
          <w:rFonts w:ascii="仿宋_GB2312" w:eastAsia="仿宋_GB2312" w:hAnsi="仿宋" w:hint="eastAsia"/>
          <w:b/>
          <w:sz w:val="32"/>
          <w:szCs w:val="32"/>
          <w:highlight w:val="white"/>
        </w:rPr>
        <w:t>项目安全保密要求</w:t>
      </w:r>
    </w:p>
    <w:p w14:paraId="51EA417C"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本项目要求投标人：</w:t>
      </w:r>
    </w:p>
    <w:p w14:paraId="22DF213E"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（1）按照国家、省市的有关法律法规文件规定，要求投标人履行保密责任，并遵守合同中有关保密要求；</w:t>
      </w:r>
    </w:p>
    <w:p w14:paraId="650B1047"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（2）投标人各级组织严格履行保密职责；</w:t>
      </w:r>
    </w:p>
    <w:p w14:paraId="747C5BF1"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（3）按照保密规定开展工作。</w:t>
      </w:r>
    </w:p>
    <w:p w14:paraId="61E018D2" w14:textId="77777777" w:rsidR="0030363A" w:rsidRDefault="00000000">
      <w:pPr>
        <w:ind w:firstLineChars="196" w:firstLine="627"/>
        <w:rPr>
          <w:rFonts w:ascii="仿宋_GB2312" w:eastAsia="仿宋_GB2312" w:hAnsi="仿宋"/>
          <w:b/>
          <w:sz w:val="32"/>
          <w:szCs w:val="32"/>
          <w:highlight w:val="white"/>
        </w:rPr>
      </w:pPr>
      <w:r>
        <w:rPr>
          <w:rFonts w:ascii="仿宋_GB2312" w:eastAsia="仿宋_GB2312" w:hAnsi="仿宋" w:hint="eastAsia"/>
          <w:b/>
          <w:sz w:val="32"/>
          <w:szCs w:val="32"/>
        </w:rPr>
        <w:t>5.</w:t>
      </w:r>
      <w:r>
        <w:rPr>
          <w:rFonts w:ascii="仿宋_GB2312" w:eastAsia="仿宋_GB2312" w:hAnsi="仿宋" w:hint="eastAsia"/>
          <w:b/>
          <w:sz w:val="32"/>
          <w:szCs w:val="32"/>
          <w:highlight w:val="white"/>
        </w:rPr>
        <w:t>项目实施单位考核要求</w:t>
      </w:r>
    </w:p>
    <w:p w14:paraId="6D251C42"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业主单位对投标人开展相关工作实行严格的服务质量考核，对其工作质量进行评价考核监督。考核内容包括但不限于以下要点：人员的工作态度、进度管理、服务成果、协调能力、遵章守纪等方面，由项目实施单位自评及业主单位指定人员对项目实施单位进行考核。</w:t>
      </w:r>
    </w:p>
    <w:p w14:paraId="43BA065D" w14:textId="77777777" w:rsidR="0030363A" w:rsidRDefault="00000000">
      <w:pPr>
        <w:ind w:firstLineChars="196" w:firstLine="627"/>
        <w:rPr>
          <w:rFonts w:ascii="仿宋_GB2312" w:eastAsia="仿宋_GB2312" w:hAnsi="仿宋"/>
          <w:b/>
          <w:sz w:val="32"/>
          <w:szCs w:val="32"/>
          <w:highlight w:val="white"/>
        </w:rPr>
      </w:pPr>
      <w:r>
        <w:rPr>
          <w:rFonts w:ascii="仿宋_GB2312" w:eastAsia="仿宋_GB2312" w:hAnsi="仿宋" w:hint="eastAsia"/>
          <w:b/>
          <w:sz w:val="32"/>
          <w:szCs w:val="32"/>
          <w:highlight w:val="white"/>
        </w:rPr>
        <w:t>（二）项目服务实施管理要求</w:t>
      </w:r>
      <w:bookmarkEnd w:id="3"/>
      <w:bookmarkEnd w:id="4"/>
    </w:p>
    <w:p w14:paraId="5292F753" w14:textId="77777777" w:rsidR="0030363A" w:rsidRDefault="00000000">
      <w:pPr>
        <w:ind w:firstLineChars="196" w:firstLine="627"/>
        <w:rPr>
          <w:rFonts w:ascii="仿宋_GB2312" w:eastAsia="仿宋_GB2312" w:hAnsi="仿宋"/>
          <w:b/>
          <w:sz w:val="32"/>
          <w:szCs w:val="32"/>
          <w:highlight w:val="white"/>
        </w:rPr>
      </w:pPr>
      <w:bookmarkStart w:id="6" w:name="_Toc457815847"/>
      <w:bookmarkStart w:id="7" w:name="_Toc457982244"/>
      <w:r>
        <w:rPr>
          <w:rFonts w:ascii="仿宋_GB2312" w:eastAsia="仿宋_GB2312" w:hAnsi="仿宋" w:hint="eastAsia"/>
          <w:b/>
          <w:sz w:val="32"/>
          <w:szCs w:val="32"/>
        </w:rPr>
        <w:lastRenderedPageBreak/>
        <w:t>1.</w:t>
      </w:r>
      <w:r>
        <w:rPr>
          <w:rFonts w:ascii="仿宋_GB2312" w:eastAsia="仿宋_GB2312" w:hAnsi="仿宋" w:hint="eastAsia"/>
          <w:b/>
          <w:sz w:val="32"/>
          <w:szCs w:val="32"/>
          <w:highlight w:val="white"/>
        </w:rPr>
        <w:t>项目组织与人员要求</w:t>
      </w:r>
      <w:bookmarkEnd w:id="6"/>
      <w:bookmarkEnd w:id="7"/>
    </w:p>
    <w:p w14:paraId="6B270750" w14:textId="77777777" w:rsidR="0030363A" w:rsidRDefault="00000000">
      <w:pPr>
        <w:ind w:firstLineChars="200" w:firstLine="640"/>
        <w:rPr>
          <w:rFonts w:ascii="仿宋_GB2312" w:eastAsia="仿宋_GB2312" w:hAnsi="仿宋"/>
          <w:sz w:val="32"/>
          <w:szCs w:val="32"/>
        </w:rPr>
      </w:pPr>
      <w:bookmarkStart w:id="8" w:name="_Toc397874212"/>
      <w:bookmarkStart w:id="9" w:name="_Toc2937"/>
      <w:bookmarkStart w:id="10" w:name="_Toc353293602"/>
      <w:r>
        <w:rPr>
          <w:rFonts w:ascii="仿宋_GB2312" w:eastAsia="仿宋_GB2312" w:hAnsi="仿宋" w:hint="eastAsia"/>
          <w:sz w:val="32"/>
          <w:szCs w:val="32"/>
        </w:rPr>
        <w:t>（1）项目组织</w:t>
      </w:r>
    </w:p>
    <w:p w14:paraId="535071EF"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为保障项目按质、按量、按时及有序实施，投标人应承诺对本项目须建立一个完善和稳定的项目团队、管理机构及执行流程。</w:t>
      </w:r>
    </w:p>
    <w:p w14:paraId="502FD0FD"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（2）人员配备要求</w:t>
      </w:r>
    </w:p>
    <w:p w14:paraId="55715AB7"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在整个合同执行期间，如果项目</w:t>
      </w:r>
      <w:proofErr w:type="gramStart"/>
      <w:r>
        <w:rPr>
          <w:rFonts w:ascii="仿宋_GB2312" w:eastAsia="仿宋_GB2312" w:hAnsi="仿宋" w:hint="eastAsia"/>
          <w:sz w:val="32"/>
          <w:szCs w:val="32"/>
        </w:rPr>
        <w:t>组无法</w:t>
      </w:r>
      <w:proofErr w:type="gramEnd"/>
      <w:r>
        <w:rPr>
          <w:rFonts w:ascii="仿宋_GB2312" w:eastAsia="仿宋_GB2312" w:hAnsi="仿宋" w:hint="eastAsia"/>
          <w:sz w:val="32"/>
          <w:szCs w:val="32"/>
        </w:rPr>
        <w:t>胜任项目工作要求，项目业主单位有权要求投标人调换项目主要人员，投标人应无条件接受。专题讲师必须是从事涉农电子商务行业或相关领域专家，</w:t>
      </w:r>
      <w:bookmarkStart w:id="11" w:name="_Toc108866334"/>
      <w:r>
        <w:rPr>
          <w:rFonts w:ascii="仿宋_GB2312" w:eastAsia="仿宋_GB2312" w:hAnsi="仿宋" w:hint="eastAsia"/>
          <w:sz w:val="32"/>
          <w:szCs w:val="32"/>
        </w:rPr>
        <w:t>具有</w:t>
      </w:r>
      <w:proofErr w:type="gramStart"/>
      <w:r>
        <w:rPr>
          <w:rFonts w:ascii="仿宋_GB2312" w:eastAsia="仿宋_GB2312" w:hAnsi="仿宋" w:hint="eastAsia"/>
          <w:sz w:val="32"/>
          <w:szCs w:val="32"/>
        </w:rPr>
        <w:t>农业电</w:t>
      </w:r>
      <w:proofErr w:type="gramEnd"/>
      <w:r>
        <w:rPr>
          <w:rFonts w:ascii="仿宋_GB2312" w:eastAsia="仿宋_GB2312" w:hAnsi="仿宋" w:hint="eastAsia"/>
          <w:sz w:val="32"/>
          <w:szCs w:val="32"/>
        </w:rPr>
        <w:t>商专题授课、</w:t>
      </w:r>
      <w:proofErr w:type="gramStart"/>
      <w:r>
        <w:rPr>
          <w:rFonts w:ascii="仿宋_GB2312" w:eastAsia="仿宋_GB2312" w:hAnsi="仿宋" w:hint="eastAsia"/>
          <w:sz w:val="32"/>
          <w:szCs w:val="32"/>
        </w:rPr>
        <w:t>农业电</w:t>
      </w:r>
      <w:proofErr w:type="gramEnd"/>
      <w:r>
        <w:rPr>
          <w:rFonts w:ascii="仿宋_GB2312" w:eastAsia="仿宋_GB2312" w:hAnsi="仿宋" w:hint="eastAsia"/>
          <w:sz w:val="32"/>
          <w:szCs w:val="32"/>
        </w:rPr>
        <w:t>商运营或农业行业专项调研工作经验。</w:t>
      </w:r>
      <w:bookmarkEnd w:id="11"/>
      <w:r>
        <w:rPr>
          <w:rFonts w:ascii="仿宋_GB2312" w:eastAsia="仿宋_GB2312" w:hAnsi="仿宋" w:hint="eastAsia"/>
          <w:sz w:val="32"/>
          <w:szCs w:val="32"/>
        </w:rPr>
        <w:t>咨询服务单位若需更换应用推广活动团队人员的，必须提前10个工作日书面报业主单位批准后方可更换。原则上不允许中途更换项目负责人。</w:t>
      </w:r>
    </w:p>
    <w:p w14:paraId="78B21264"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（3）调整原则</w:t>
      </w:r>
    </w:p>
    <w:p w14:paraId="62788674"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在服务期内，投标人承诺的团队主要人员未经用户同意不得调整；投标人如中途更换相关人员，应征得用户同意。</w:t>
      </w:r>
    </w:p>
    <w:p w14:paraId="44CB015B" w14:textId="77777777" w:rsidR="0030363A" w:rsidRDefault="00000000">
      <w:pPr>
        <w:ind w:firstLineChars="196" w:firstLine="627"/>
        <w:rPr>
          <w:rFonts w:ascii="仿宋_GB2312" w:eastAsia="仿宋_GB2312" w:hAnsi="仿宋"/>
          <w:b/>
          <w:sz w:val="32"/>
          <w:szCs w:val="32"/>
          <w:highlight w:val="white"/>
        </w:rPr>
      </w:pPr>
      <w:bookmarkStart w:id="12" w:name="_Toc457982245"/>
      <w:bookmarkStart w:id="13" w:name="_Toc457815848"/>
      <w:r>
        <w:rPr>
          <w:rFonts w:ascii="仿宋_GB2312" w:eastAsia="仿宋_GB2312" w:hAnsi="仿宋" w:hint="eastAsia"/>
          <w:b/>
          <w:sz w:val="32"/>
          <w:szCs w:val="32"/>
        </w:rPr>
        <w:t>2.</w:t>
      </w:r>
      <w:r>
        <w:rPr>
          <w:rFonts w:ascii="仿宋_GB2312" w:eastAsia="仿宋_GB2312" w:hAnsi="仿宋" w:hint="eastAsia"/>
          <w:b/>
          <w:sz w:val="32"/>
          <w:szCs w:val="32"/>
          <w:highlight w:val="white"/>
        </w:rPr>
        <w:t>实施与计划</w:t>
      </w:r>
      <w:bookmarkEnd w:id="8"/>
      <w:bookmarkEnd w:id="9"/>
      <w:bookmarkEnd w:id="10"/>
      <w:bookmarkEnd w:id="12"/>
      <w:bookmarkEnd w:id="13"/>
    </w:p>
    <w:p w14:paraId="3AFFEB82" w14:textId="77777777" w:rsidR="0030363A" w:rsidRDefault="00000000">
      <w:pPr>
        <w:ind w:firstLineChars="196" w:firstLine="627"/>
        <w:rPr>
          <w:rFonts w:ascii="仿宋_GB2312" w:eastAsia="仿宋_GB2312" w:hAnsi="仿宋"/>
          <w:b/>
          <w:sz w:val="32"/>
          <w:szCs w:val="32"/>
          <w:highlight w:val="white"/>
        </w:rPr>
      </w:pPr>
      <w:r>
        <w:rPr>
          <w:rFonts w:ascii="仿宋_GB2312" w:eastAsia="仿宋_GB2312" w:hAnsi="仿宋" w:hint="eastAsia"/>
          <w:sz w:val="32"/>
          <w:szCs w:val="32"/>
        </w:rPr>
        <w:t>投标人应根据招标文件服务需求及服务部分的要求，详细叙述拟提供服务方案情况。投标人提出的本项目服务方案应包括：</w:t>
      </w:r>
    </w:p>
    <w:p w14:paraId="06FA9FD7" w14:textId="77777777" w:rsidR="0030363A" w:rsidRDefault="00000000">
      <w:pPr>
        <w:ind w:firstLineChars="196" w:firstLine="627"/>
        <w:rPr>
          <w:rFonts w:ascii="仿宋_GB2312" w:eastAsia="仿宋_GB2312" w:hAnsi="仿宋"/>
          <w:b/>
          <w:sz w:val="32"/>
          <w:szCs w:val="32"/>
          <w:highlight w:val="white"/>
        </w:rPr>
      </w:pPr>
      <w:r>
        <w:rPr>
          <w:rFonts w:ascii="仿宋_GB2312" w:eastAsia="仿宋_GB2312" w:hAnsi="仿宋" w:hint="eastAsia"/>
          <w:sz w:val="32"/>
          <w:szCs w:val="32"/>
        </w:rPr>
        <w:lastRenderedPageBreak/>
        <w:t>（1）方案优化：投标人需要通过对本项目深刻理解和充分的需求分析，提供具体的方案。</w:t>
      </w:r>
    </w:p>
    <w:p w14:paraId="57D2A4C4" w14:textId="77777777" w:rsidR="0030363A" w:rsidRDefault="00000000">
      <w:pPr>
        <w:ind w:firstLineChars="196" w:firstLine="627"/>
        <w:rPr>
          <w:rFonts w:ascii="仿宋_GB2312" w:eastAsia="仿宋_GB2312" w:hAnsi="仿宋"/>
          <w:b/>
          <w:sz w:val="32"/>
          <w:szCs w:val="32"/>
          <w:highlight w:val="white"/>
        </w:rPr>
      </w:pPr>
      <w:r>
        <w:rPr>
          <w:rFonts w:ascii="仿宋_GB2312" w:eastAsia="仿宋_GB2312" w:hAnsi="仿宋" w:hint="eastAsia"/>
          <w:sz w:val="32"/>
          <w:szCs w:val="32"/>
        </w:rPr>
        <w:t>（2）在整个合同执行期间，项目的组织、实施、服务、质量等方面关乎项目效果的内容，接受项目发布单位的组织的监督、考核，考核结果不及格的，项目发布单位有权不组织验收、延期付款，相关责任由投标方承担，投标人应无条件接受。</w:t>
      </w:r>
    </w:p>
    <w:p w14:paraId="4707CCBE" w14:textId="77777777" w:rsidR="0030363A" w:rsidRDefault="00000000">
      <w:pPr>
        <w:ind w:firstLineChars="196" w:firstLine="627"/>
        <w:rPr>
          <w:rFonts w:ascii="仿宋_GB2312" w:eastAsia="仿宋_GB2312" w:hAnsi="仿宋"/>
          <w:b/>
          <w:sz w:val="32"/>
          <w:szCs w:val="32"/>
          <w:highlight w:val="white"/>
        </w:rPr>
      </w:pPr>
      <w:bookmarkStart w:id="14" w:name="_Toc180402932"/>
      <w:bookmarkStart w:id="15" w:name="_Toc31828"/>
      <w:bookmarkStart w:id="16" w:name="_Toc457982247"/>
      <w:bookmarkStart w:id="17" w:name="_Toc180402471"/>
      <w:bookmarkStart w:id="18" w:name="_Toc457815850"/>
      <w:bookmarkStart w:id="19" w:name="_Toc397874214"/>
      <w:r>
        <w:rPr>
          <w:rFonts w:ascii="仿宋_GB2312" w:eastAsia="仿宋_GB2312" w:hAnsi="仿宋" w:hint="eastAsia"/>
          <w:b/>
          <w:sz w:val="32"/>
          <w:szCs w:val="32"/>
        </w:rPr>
        <w:t>3.</w:t>
      </w:r>
      <w:r>
        <w:rPr>
          <w:rFonts w:ascii="仿宋_GB2312" w:eastAsia="仿宋_GB2312" w:hAnsi="仿宋" w:hint="eastAsia"/>
          <w:b/>
          <w:sz w:val="32"/>
          <w:szCs w:val="32"/>
          <w:highlight w:val="white"/>
        </w:rPr>
        <w:t>项目文档要求</w:t>
      </w:r>
      <w:bookmarkEnd w:id="14"/>
      <w:bookmarkEnd w:id="15"/>
      <w:bookmarkEnd w:id="16"/>
      <w:bookmarkEnd w:id="17"/>
      <w:bookmarkEnd w:id="18"/>
      <w:bookmarkEnd w:id="19"/>
    </w:p>
    <w:p w14:paraId="11467130"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投标人应根据项目进展和合同要求，按时提供相关文档及成果资料。文档必须满足项目方的要求。</w:t>
      </w:r>
    </w:p>
    <w:p w14:paraId="567101F2" w14:textId="77777777" w:rsidR="0030363A" w:rsidRDefault="00000000">
      <w:pPr>
        <w:ind w:firstLineChars="196" w:firstLine="627"/>
        <w:rPr>
          <w:rFonts w:ascii="仿宋_GB2312" w:eastAsia="仿宋_GB2312" w:hAnsi="仿宋"/>
          <w:b/>
          <w:sz w:val="32"/>
          <w:szCs w:val="32"/>
          <w:highlight w:val="white"/>
        </w:rPr>
      </w:pPr>
      <w:bookmarkStart w:id="20" w:name="_Toc457815851"/>
      <w:bookmarkStart w:id="21" w:name="_Toc457982248"/>
      <w:bookmarkStart w:id="22" w:name="_Toc325546968"/>
      <w:bookmarkStart w:id="23" w:name="_Toc325631995"/>
      <w:bookmarkStart w:id="24" w:name="_Toc10526"/>
      <w:bookmarkStart w:id="25" w:name="_Toc318855562"/>
      <w:bookmarkStart w:id="26" w:name="_Toc326227480"/>
      <w:bookmarkStart w:id="27" w:name="_Toc397874216"/>
      <w:r>
        <w:rPr>
          <w:rFonts w:ascii="仿宋_GB2312" w:eastAsia="仿宋_GB2312" w:hAnsi="仿宋" w:hint="eastAsia"/>
          <w:b/>
          <w:sz w:val="32"/>
          <w:szCs w:val="32"/>
        </w:rPr>
        <w:t>4.</w:t>
      </w:r>
      <w:r>
        <w:rPr>
          <w:rFonts w:ascii="仿宋_GB2312" w:eastAsia="仿宋_GB2312" w:hAnsi="仿宋" w:hint="eastAsia"/>
          <w:b/>
          <w:sz w:val="32"/>
          <w:szCs w:val="32"/>
          <w:highlight w:val="white"/>
        </w:rPr>
        <w:t>知识产权要求</w:t>
      </w:r>
      <w:bookmarkEnd w:id="20"/>
      <w:bookmarkEnd w:id="21"/>
    </w:p>
    <w:p w14:paraId="48649401" w14:textId="77777777" w:rsidR="0030363A" w:rsidRDefault="00000000">
      <w:pPr>
        <w:ind w:firstLineChars="196" w:firstLine="627"/>
        <w:rPr>
          <w:rFonts w:ascii="仿宋" w:eastAsia="仿宋" w:hAnsi="仿宋"/>
          <w:b/>
          <w:sz w:val="32"/>
          <w:szCs w:val="32"/>
          <w:highlight w:val="white"/>
        </w:rPr>
      </w:pPr>
      <w:r>
        <w:rPr>
          <w:rFonts w:ascii="仿宋_GB2312" w:eastAsia="仿宋_GB2312" w:hAnsi="仿宋" w:hint="eastAsia"/>
          <w:sz w:val="32"/>
          <w:szCs w:val="32"/>
        </w:rPr>
        <w:t>投标人应保证在本项目使用的任何服务（包括部分使用）时，不会产生因第三方提出侵犯其专利权、商标权、著作权或其它知识产权而引起的法律和经济纠纷，如因专利权、商标权或其它知识产权而引起法律和经济纠纷，由投标人承担所有相关责任的同时不得耽误本项目实施进度。</w:t>
      </w:r>
      <w:bookmarkEnd w:id="22"/>
      <w:bookmarkEnd w:id="23"/>
      <w:bookmarkEnd w:id="24"/>
      <w:bookmarkEnd w:id="25"/>
      <w:bookmarkEnd w:id="26"/>
      <w:bookmarkEnd w:id="27"/>
    </w:p>
    <w:p w14:paraId="558EC434" w14:textId="77777777" w:rsidR="0030363A" w:rsidRDefault="00000000">
      <w:pPr>
        <w:ind w:firstLineChars="200" w:firstLine="640"/>
        <w:rPr>
          <w:rFonts w:ascii="楷体_GB2312" w:eastAsia="楷体_GB2312" w:hAnsi="仿宋"/>
          <w:b/>
          <w:sz w:val="32"/>
          <w:szCs w:val="32"/>
          <w:highlight w:val="white"/>
        </w:rPr>
      </w:pPr>
      <w:r>
        <w:rPr>
          <w:rFonts w:ascii="楷体_GB2312" w:eastAsia="楷体_GB2312" w:hAnsi="仿宋" w:hint="eastAsia"/>
          <w:b/>
          <w:sz w:val="32"/>
          <w:szCs w:val="32"/>
          <w:highlight w:val="white"/>
        </w:rPr>
        <w:t>三、评标方案</w:t>
      </w:r>
    </w:p>
    <w:p w14:paraId="6109D090"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b/>
          <w:sz w:val="32"/>
          <w:szCs w:val="32"/>
        </w:rPr>
        <w:t>（一）</w:t>
      </w:r>
      <w:r>
        <w:rPr>
          <w:rFonts w:ascii="仿宋_GB2312" w:eastAsia="仿宋_GB2312" w:hAnsi="仿宋" w:hint="eastAsia"/>
          <w:sz w:val="32"/>
          <w:szCs w:val="32"/>
        </w:rPr>
        <w:t>本项目采用综合评分法</w:t>
      </w:r>
    </w:p>
    <w:p w14:paraId="5092FDB4"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b/>
          <w:sz w:val="32"/>
          <w:szCs w:val="32"/>
        </w:rPr>
        <w:t>（二）中标依据：</w:t>
      </w:r>
      <w:r>
        <w:rPr>
          <w:rFonts w:ascii="仿宋_GB2312" w:eastAsia="仿宋_GB2312" w:hAnsi="仿宋" w:hint="eastAsia"/>
          <w:sz w:val="32"/>
          <w:szCs w:val="32"/>
        </w:rPr>
        <w:t>在不高于最高限价的前提下，综合</w:t>
      </w:r>
      <w:proofErr w:type="gramStart"/>
      <w:r>
        <w:rPr>
          <w:rFonts w:ascii="仿宋_GB2312" w:eastAsia="仿宋_GB2312" w:hAnsi="仿宋" w:hint="eastAsia"/>
          <w:sz w:val="32"/>
          <w:szCs w:val="32"/>
        </w:rPr>
        <w:t>评估分</w:t>
      </w:r>
      <w:proofErr w:type="gramEnd"/>
      <w:r>
        <w:rPr>
          <w:rFonts w:ascii="仿宋_GB2312" w:eastAsia="仿宋_GB2312" w:hAnsi="仿宋" w:hint="eastAsia"/>
          <w:sz w:val="32"/>
          <w:szCs w:val="32"/>
        </w:rPr>
        <w:t>最高的为中标候选人。</w:t>
      </w:r>
    </w:p>
    <w:p w14:paraId="321BB09E" w14:textId="77777777" w:rsidR="0030363A" w:rsidRDefault="00000000">
      <w:pPr>
        <w:ind w:firstLineChars="200" w:firstLine="640"/>
        <w:rPr>
          <w:rFonts w:ascii="仿宋_GB2312" w:eastAsia="仿宋_GB2312" w:hAnsi="仿宋"/>
          <w:b/>
          <w:sz w:val="32"/>
          <w:szCs w:val="32"/>
        </w:rPr>
      </w:pPr>
      <w:r>
        <w:rPr>
          <w:rFonts w:ascii="仿宋_GB2312" w:eastAsia="仿宋_GB2312" w:hAnsi="仿宋" w:hint="eastAsia"/>
          <w:b/>
          <w:sz w:val="32"/>
          <w:szCs w:val="32"/>
        </w:rPr>
        <w:t>（三）技术部分响应性评定</w:t>
      </w:r>
    </w:p>
    <w:p w14:paraId="6B536926"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1．由评标委员会对所有投标文件的技术部分的响应进行审核和分析；</w:t>
      </w:r>
    </w:p>
    <w:p w14:paraId="79F5C924"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2．评委独立进行文字评价和评分，填写“技术部分响应评分表”；</w:t>
      </w:r>
    </w:p>
    <w:p w14:paraId="65327179"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3．评分标准：按照单项分值，按评估等级计算得分（特别说明除外）；</w:t>
      </w:r>
    </w:p>
    <w:p w14:paraId="5B38117D"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4．将每一个评委的评分汇总后，进行算术平均（精确到小数点后两位），得出该投标人的技术得分。</w:t>
      </w:r>
    </w:p>
    <w:p w14:paraId="1103BCC8" w14:textId="77777777" w:rsidR="0030363A" w:rsidRDefault="00000000">
      <w:pPr>
        <w:ind w:firstLineChars="200" w:firstLine="640"/>
        <w:rPr>
          <w:rFonts w:ascii="仿宋_GB2312" w:eastAsia="仿宋_GB2312" w:hAnsi="仿宋"/>
          <w:b/>
          <w:sz w:val="32"/>
          <w:szCs w:val="32"/>
        </w:rPr>
      </w:pPr>
      <w:r>
        <w:rPr>
          <w:rFonts w:ascii="仿宋_GB2312" w:eastAsia="仿宋_GB2312" w:hAnsi="仿宋" w:hint="eastAsia"/>
          <w:b/>
          <w:sz w:val="32"/>
          <w:szCs w:val="32"/>
        </w:rPr>
        <w:t>（四）商务部分响应性评估</w:t>
      </w:r>
    </w:p>
    <w:p w14:paraId="576E0C5D"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1．由评标委员会对所有投标文件的商务部分的响应进行审核和分析；</w:t>
      </w:r>
    </w:p>
    <w:p w14:paraId="33DD1F1B"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2．评委独立进行文字评价和评分，填写“商务部分响应评分表”；</w:t>
      </w:r>
    </w:p>
    <w:p w14:paraId="44FF280C"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3．评分标准：按照单项分值，按评估等级计算得分（特别说明除外）；</w:t>
      </w:r>
    </w:p>
    <w:p w14:paraId="0BB03B04"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4．将每一个评委的评分汇总后，进行算术平均（精确到小数点后两位），得出该投标人的商务得分。</w:t>
      </w:r>
    </w:p>
    <w:p w14:paraId="02D4B617" w14:textId="77777777" w:rsidR="0030363A" w:rsidRDefault="00000000">
      <w:pPr>
        <w:ind w:firstLineChars="200" w:firstLine="640"/>
        <w:rPr>
          <w:rFonts w:ascii="仿宋_GB2312" w:eastAsia="仿宋_GB2312" w:hAnsi="仿宋"/>
          <w:b/>
          <w:sz w:val="32"/>
          <w:szCs w:val="32"/>
        </w:rPr>
      </w:pPr>
      <w:r>
        <w:rPr>
          <w:rFonts w:ascii="仿宋_GB2312" w:eastAsia="仿宋_GB2312" w:hAnsi="仿宋" w:hint="eastAsia"/>
          <w:b/>
          <w:sz w:val="32"/>
          <w:szCs w:val="32"/>
        </w:rPr>
        <w:t>（五）价格响应性评估</w:t>
      </w:r>
    </w:p>
    <w:p w14:paraId="355A3539"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1．由评标委员会对所有投标文件的价格部分的响应进行审</w:t>
      </w:r>
      <w:r>
        <w:rPr>
          <w:rFonts w:ascii="仿宋_GB2312" w:eastAsia="仿宋_GB2312" w:hAnsi="仿宋" w:hint="eastAsia"/>
          <w:sz w:val="32"/>
          <w:szCs w:val="32"/>
        </w:rPr>
        <w:lastRenderedPageBreak/>
        <w:t>核和分析。</w:t>
      </w:r>
    </w:p>
    <w:p w14:paraId="60B88D45" w14:textId="77777777" w:rsidR="0030363A" w:rsidRDefault="00000000">
      <w:pPr>
        <w:ind w:firstLineChars="200" w:firstLine="640"/>
        <w:rPr>
          <w:rFonts w:ascii="仿宋_GB2312" w:eastAsia="仿宋_GB2312" w:hAnsi="仿宋"/>
          <w:sz w:val="32"/>
          <w:szCs w:val="32"/>
        </w:rPr>
      </w:pPr>
      <w:bookmarkStart w:id="28" w:name="PriceRuleDesc"/>
      <w:bookmarkStart w:id="29" w:name="PriceLastNumber"/>
      <w:r>
        <w:rPr>
          <w:rFonts w:ascii="仿宋_GB2312" w:eastAsia="仿宋_GB2312" w:hAnsi="仿宋" w:hint="eastAsia"/>
          <w:sz w:val="32"/>
          <w:szCs w:val="32"/>
        </w:rPr>
        <w:t>2．基准价格分：以有效投标人报价中价格最低的投标报价为基准价，定其基准价格分为15分。</w:t>
      </w:r>
    </w:p>
    <w:p w14:paraId="23107E70"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3．投标人的价格得分=（评标基准价/投标人报价）×15（精确到小数点后两位）分。由此算出每个投标人的“价格得分”。如果申请人的投标价格低于限价的60%，没有合理的解释说明材料或者材料不合理，价格分为零分。</w:t>
      </w:r>
    </w:p>
    <w:bookmarkEnd w:id="28"/>
    <w:bookmarkEnd w:id="29"/>
    <w:p w14:paraId="4ACF5784"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4．评委检查每个投标人的价格评分计算情况，确认“价格得分”。</w:t>
      </w:r>
      <w:bookmarkStart w:id="30" w:name="IsHasSample2"/>
      <w:bookmarkStart w:id="31" w:name="NotRequestDemoOrRequestInstantReply"/>
      <w:bookmarkEnd w:id="30"/>
      <w:bookmarkEnd w:id="31"/>
    </w:p>
    <w:p w14:paraId="0F5D5213" w14:textId="77777777" w:rsidR="0030363A" w:rsidRDefault="0030363A">
      <w:pPr>
        <w:ind w:firstLineChars="200" w:firstLine="640"/>
        <w:rPr>
          <w:rFonts w:ascii="仿宋_GB2312" w:eastAsia="仿宋_GB2312" w:hAnsi="仿宋"/>
          <w:sz w:val="32"/>
          <w:szCs w:val="32"/>
        </w:rPr>
      </w:pPr>
    </w:p>
    <w:p w14:paraId="0A2264B1" w14:textId="77777777" w:rsidR="0030363A" w:rsidRDefault="00000000">
      <w:pPr>
        <w:spacing w:line="360" w:lineRule="auto"/>
        <w:jc w:val="center"/>
        <w:rPr>
          <w:rFonts w:ascii="仿宋_GB2312" w:eastAsia="仿宋_GB2312" w:hAnsi="仿宋"/>
          <w:b/>
          <w:sz w:val="32"/>
          <w:szCs w:val="32"/>
          <w:lang w:val="zh-CN"/>
        </w:rPr>
      </w:pPr>
      <w:r>
        <w:rPr>
          <w:rFonts w:ascii="仿宋_GB2312" w:eastAsia="仿宋_GB2312" w:hAnsi="仿宋" w:hint="eastAsia"/>
          <w:b/>
          <w:sz w:val="32"/>
          <w:szCs w:val="32"/>
          <w:lang w:val="zh-CN"/>
        </w:rPr>
        <w:t>综合</w:t>
      </w:r>
      <w:proofErr w:type="gramStart"/>
      <w:r>
        <w:rPr>
          <w:rFonts w:ascii="仿宋_GB2312" w:eastAsia="仿宋_GB2312" w:hAnsi="仿宋" w:hint="eastAsia"/>
          <w:b/>
          <w:sz w:val="32"/>
          <w:szCs w:val="32"/>
          <w:lang w:val="zh-CN"/>
        </w:rPr>
        <w:t>评估分</w:t>
      </w:r>
      <w:proofErr w:type="gramEnd"/>
      <w:r>
        <w:rPr>
          <w:rFonts w:ascii="仿宋_GB2312" w:eastAsia="仿宋_GB2312" w:hAnsi="仿宋" w:hint="eastAsia"/>
          <w:b/>
          <w:sz w:val="32"/>
          <w:szCs w:val="32"/>
          <w:lang w:val="zh-CN"/>
        </w:rPr>
        <w:t>的计算和排序</w:t>
      </w:r>
    </w:p>
    <w:p w14:paraId="647DA035" w14:textId="77777777" w:rsidR="0030363A" w:rsidRDefault="00000000">
      <w:pPr>
        <w:spacing w:line="360" w:lineRule="auto"/>
        <w:ind w:left="709"/>
        <w:rPr>
          <w:rFonts w:ascii="仿宋_GB2312" w:eastAsia="仿宋_GB2312" w:hAnsi="仿宋"/>
          <w:sz w:val="32"/>
          <w:szCs w:val="32"/>
        </w:rPr>
      </w:pPr>
      <w:r>
        <w:rPr>
          <w:rFonts w:ascii="仿宋_GB2312" w:eastAsia="仿宋_GB2312" w:hAnsi="仿宋" w:hint="eastAsia"/>
          <w:sz w:val="32"/>
          <w:szCs w:val="32"/>
        </w:rPr>
        <w:t>综合评估分中各评估因素所占权重（见下表）</w:t>
      </w:r>
      <w:bookmarkStart w:id="32" w:name="SubDocScoreRule"/>
    </w:p>
    <w:tbl>
      <w:tblPr>
        <w:tblW w:w="8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0"/>
        <w:gridCol w:w="2130"/>
        <w:gridCol w:w="2131"/>
        <w:gridCol w:w="2131"/>
      </w:tblGrid>
      <w:tr w:rsidR="0030363A" w14:paraId="103CA539" w14:textId="77777777">
        <w:trPr>
          <w:jc w:val="center"/>
        </w:trPr>
        <w:tc>
          <w:tcPr>
            <w:tcW w:w="1880" w:type="dxa"/>
            <w:tcBorders>
              <w:top w:val="single" w:sz="4" w:space="0" w:color="auto"/>
              <w:left w:val="single" w:sz="4" w:space="0" w:color="auto"/>
              <w:bottom w:val="single" w:sz="4" w:space="0" w:color="auto"/>
              <w:right w:val="single" w:sz="4" w:space="0" w:color="auto"/>
            </w:tcBorders>
          </w:tcPr>
          <w:p w14:paraId="4277FD27" w14:textId="77777777" w:rsidR="0030363A" w:rsidRDefault="00000000">
            <w:pPr>
              <w:spacing w:line="360" w:lineRule="auto"/>
              <w:jc w:val="center"/>
              <w:rPr>
                <w:rFonts w:ascii="仿宋_GB2312" w:eastAsia="仿宋_GB2312" w:hAnsi="仿宋"/>
                <w:b/>
                <w:bCs/>
                <w:sz w:val="32"/>
                <w:szCs w:val="32"/>
              </w:rPr>
            </w:pPr>
            <w:r>
              <w:rPr>
                <w:rFonts w:ascii="仿宋_GB2312" w:eastAsia="仿宋_GB2312" w:hAnsi="仿宋" w:hint="eastAsia"/>
                <w:b/>
                <w:bCs/>
                <w:sz w:val="32"/>
                <w:szCs w:val="32"/>
              </w:rPr>
              <w:t>评估因素</w:t>
            </w:r>
          </w:p>
        </w:tc>
        <w:tc>
          <w:tcPr>
            <w:tcW w:w="2130" w:type="dxa"/>
            <w:tcBorders>
              <w:top w:val="single" w:sz="4" w:space="0" w:color="auto"/>
              <w:left w:val="single" w:sz="4" w:space="0" w:color="auto"/>
              <w:bottom w:val="single" w:sz="4" w:space="0" w:color="auto"/>
              <w:right w:val="single" w:sz="4" w:space="0" w:color="auto"/>
            </w:tcBorders>
            <w:vAlign w:val="center"/>
          </w:tcPr>
          <w:p w14:paraId="10378A3A" w14:textId="77777777" w:rsidR="0030363A" w:rsidRDefault="00000000">
            <w:pPr>
              <w:spacing w:line="360" w:lineRule="auto"/>
              <w:jc w:val="center"/>
              <w:rPr>
                <w:rFonts w:ascii="仿宋_GB2312" w:eastAsia="仿宋_GB2312" w:hAnsi="仿宋"/>
                <w:b/>
                <w:bCs/>
                <w:sz w:val="32"/>
                <w:szCs w:val="32"/>
              </w:rPr>
            </w:pPr>
            <w:r>
              <w:rPr>
                <w:rFonts w:ascii="仿宋_GB2312" w:eastAsia="仿宋_GB2312" w:hAnsi="仿宋" w:hint="eastAsia"/>
                <w:b/>
                <w:bCs/>
                <w:sz w:val="32"/>
                <w:szCs w:val="32"/>
              </w:rPr>
              <w:t>技术</w:t>
            </w:r>
          </w:p>
        </w:tc>
        <w:tc>
          <w:tcPr>
            <w:tcW w:w="2131" w:type="dxa"/>
            <w:tcBorders>
              <w:top w:val="single" w:sz="4" w:space="0" w:color="auto"/>
              <w:left w:val="single" w:sz="4" w:space="0" w:color="auto"/>
              <w:bottom w:val="single" w:sz="4" w:space="0" w:color="auto"/>
              <w:right w:val="single" w:sz="4" w:space="0" w:color="auto"/>
            </w:tcBorders>
            <w:vAlign w:val="center"/>
          </w:tcPr>
          <w:p w14:paraId="3DBE8A5E" w14:textId="77777777" w:rsidR="0030363A" w:rsidRDefault="00000000">
            <w:pPr>
              <w:spacing w:line="360" w:lineRule="auto"/>
              <w:jc w:val="center"/>
              <w:rPr>
                <w:rFonts w:ascii="仿宋_GB2312" w:eastAsia="仿宋_GB2312" w:hAnsi="仿宋"/>
                <w:b/>
                <w:bCs/>
                <w:sz w:val="32"/>
                <w:szCs w:val="32"/>
              </w:rPr>
            </w:pPr>
            <w:r>
              <w:rPr>
                <w:rFonts w:ascii="仿宋_GB2312" w:eastAsia="仿宋_GB2312" w:hAnsi="仿宋" w:hint="eastAsia"/>
                <w:b/>
                <w:bCs/>
                <w:sz w:val="32"/>
                <w:szCs w:val="32"/>
              </w:rPr>
              <w:t>商务</w:t>
            </w:r>
          </w:p>
        </w:tc>
        <w:tc>
          <w:tcPr>
            <w:tcW w:w="2131" w:type="dxa"/>
            <w:tcBorders>
              <w:top w:val="single" w:sz="4" w:space="0" w:color="auto"/>
              <w:left w:val="single" w:sz="4" w:space="0" w:color="auto"/>
              <w:bottom w:val="single" w:sz="4" w:space="0" w:color="auto"/>
              <w:right w:val="single" w:sz="4" w:space="0" w:color="auto"/>
            </w:tcBorders>
            <w:vAlign w:val="center"/>
          </w:tcPr>
          <w:p w14:paraId="51CF13EF" w14:textId="77777777" w:rsidR="0030363A" w:rsidRDefault="00000000">
            <w:pPr>
              <w:spacing w:line="360" w:lineRule="auto"/>
              <w:jc w:val="center"/>
              <w:rPr>
                <w:rFonts w:ascii="仿宋_GB2312" w:eastAsia="仿宋_GB2312" w:hAnsi="仿宋"/>
                <w:b/>
                <w:bCs/>
                <w:sz w:val="32"/>
                <w:szCs w:val="32"/>
              </w:rPr>
            </w:pPr>
            <w:r>
              <w:rPr>
                <w:rFonts w:ascii="仿宋_GB2312" w:eastAsia="仿宋_GB2312" w:hAnsi="仿宋" w:hint="eastAsia"/>
                <w:b/>
                <w:bCs/>
                <w:sz w:val="32"/>
                <w:szCs w:val="32"/>
              </w:rPr>
              <w:t>价格</w:t>
            </w:r>
          </w:p>
        </w:tc>
      </w:tr>
      <w:tr w:rsidR="0030363A" w14:paraId="5DEDAA2E" w14:textId="77777777">
        <w:trPr>
          <w:trHeight w:val="458"/>
          <w:jc w:val="center"/>
        </w:trPr>
        <w:tc>
          <w:tcPr>
            <w:tcW w:w="1880" w:type="dxa"/>
            <w:tcBorders>
              <w:top w:val="single" w:sz="4" w:space="0" w:color="auto"/>
              <w:left w:val="single" w:sz="4" w:space="0" w:color="auto"/>
              <w:bottom w:val="single" w:sz="4" w:space="0" w:color="auto"/>
              <w:right w:val="single" w:sz="4" w:space="0" w:color="auto"/>
            </w:tcBorders>
          </w:tcPr>
          <w:p w14:paraId="019B36AE" w14:textId="77777777" w:rsidR="0030363A" w:rsidRDefault="00000000">
            <w:pPr>
              <w:spacing w:line="360" w:lineRule="auto"/>
              <w:jc w:val="center"/>
              <w:rPr>
                <w:rFonts w:ascii="仿宋_GB2312" w:eastAsia="仿宋_GB2312" w:hAnsi="仿宋"/>
                <w:bCs/>
                <w:sz w:val="32"/>
                <w:szCs w:val="32"/>
              </w:rPr>
            </w:pPr>
            <w:r>
              <w:rPr>
                <w:rFonts w:ascii="仿宋_GB2312" w:eastAsia="仿宋_GB2312" w:hAnsi="仿宋" w:hint="eastAsia"/>
                <w:bCs/>
                <w:sz w:val="32"/>
                <w:szCs w:val="32"/>
              </w:rPr>
              <w:t>评估权重</w:t>
            </w:r>
          </w:p>
        </w:tc>
        <w:tc>
          <w:tcPr>
            <w:tcW w:w="2130" w:type="dxa"/>
            <w:tcBorders>
              <w:top w:val="single" w:sz="4" w:space="0" w:color="auto"/>
              <w:left w:val="single" w:sz="4" w:space="0" w:color="auto"/>
              <w:bottom w:val="single" w:sz="4" w:space="0" w:color="auto"/>
              <w:right w:val="single" w:sz="4" w:space="0" w:color="auto"/>
            </w:tcBorders>
            <w:vAlign w:val="center"/>
          </w:tcPr>
          <w:p w14:paraId="3A8D62D0" w14:textId="77777777" w:rsidR="0030363A" w:rsidRDefault="00000000">
            <w:pPr>
              <w:spacing w:line="360" w:lineRule="auto"/>
              <w:jc w:val="center"/>
              <w:rPr>
                <w:rFonts w:ascii="仿宋_GB2312" w:eastAsia="仿宋_GB2312" w:hAnsi="仿宋"/>
                <w:bCs/>
                <w:sz w:val="32"/>
                <w:szCs w:val="32"/>
              </w:rPr>
            </w:pPr>
            <w:r>
              <w:rPr>
                <w:rFonts w:ascii="仿宋_GB2312" w:eastAsia="仿宋_GB2312" w:hAnsi="仿宋" w:hint="eastAsia"/>
                <w:bCs/>
                <w:sz w:val="32"/>
                <w:szCs w:val="32"/>
              </w:rPr>
              <w:t>40</w:t>
            </w:r>
          </w:p>
        </w:tc>
        <w:tc>
          <w:tcPr>
            <w:tcW w:w="2131" w:type="dxa"/>
            <w:tcBorders>
              <w:top w:val="single" w:sz="4" w:space="0" w:color="auto"/>
              <w:left w:val="single" w:sz="4" w:space="0" w:color="auto"/>
              <w:bottom w:val="single" w:sz="4" w:space="0" w:color="auto"/>
              <w:right w:val="single" w:sz="4" w:space="0" w:color="auto"/>
            </w:tcBorders>
            <w:vAlign w:val="center"/>
          </w:tcPr>
          <w:p w14:paraId="5D14A8D8" w14:textId="77777777" w:rsidR="0030363A" w:rsidRDefault="00000000">
            <w:pPr>
              <w:spacing w:line="360" w:lineRule="auto"/>
              <w:jc w:val="center"/>
              <w:rPr>
                <w:rFonts w:ascii="仿宋_GB2312" w:eastAsia="仿宋_GB2312" w:hAnsi="仿宋"/>
                <w:bCs/>
                <w:sz w:val="32"/>
                <w:szCs w:val="32"/>
              </w:rPr>
            </w:pPr>
            <w:r>
              <w:rPr>
                <w:rFonts w:ascii="仿宋_GB2312" w:eastAsia="仿宋_GB2312" w:hAnsi="仿宋" w:hint="eastAsia"/>
                <w:bCs/>
                <w:sz w:val="32"/>
                <w:szCs w:val="32"/>
              </w:rPr>
              <w:t>45</w:t>
            </w:r>
          </w:p>
        </w:tc>
        <w:tc>
          <w:tcPr>
            <w:tcW w:w="2131" w:type="dxa"/>
            <w:tcBorders>
              <w:top w:val="single" w:sz="4" w:space="0" w:color="auto"/>
              <w:left w:val="single" w:sz="4" w:space="0" w:color="auto"/>
              <w:bottom w:val="single" w:sz="4" w:space="0" w:color="auto"/>
              <w:right w:val="single" w:sz="4" w:space="0" w:color="auto"/>
            </w:tcBorders>
            <w:vAlign w:val="center"/>
          </w:tcPr>
          <w:p w14:paraId="7C9E3F41" w14:textId="77777777" w:rsidR="0030363A" w:rsidRDefault="00000000">
            <w:pPr>
              <w:spacing w:line="360" w:lineRule="auto"/>
              <w:jc w:val="center"/>
              <w:rPr>
                <w:rFonts w:ascii="仿宋_GB2312" w:eastAsia="仿宋_GB2312" w:hAnsi="仿宋"/>
                <w:bCs/>
                <w:sz w:val="32"/>
                <w:szCs w:val="32"/>
              </w:rPr>
            </w:pPr>
            <w:r>
              <w:rPr>
                <w:rFonts w:ascii="仿宋_GB2312" w:eastAsia="仿宋_GB2312" w:hAnsi="仿宋" w:hint="eastAsia"/>
                <w:bCs/>
                <w:sz w:val="32"/>
                <w:szCs w:val="32"/>
              </w:rPr>
              <w:t>15</w:t>
            </w:r>
          </w:p>
        </w:tc>
      </w:tr>
    </w:tbl>
    <w:bookmarkEnd w:id="32"/>
    <w:p w14:paraId="01A69370"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1．综合评估分</w:t>
      </w:r>
      <w:bookmarkStart w:id="33" w:name="CompositeScoreDesc"/>
      <w:r>
        <w:rPr>
          <w:rFonts w:ascii="仿宋_GB2312" w:eastAsia="仿宋_GB2312" w:hAnsi="仿宋" w:hint="eastAsia"/>
          <w:sz w:val="32"/>
          <w:szCs w:val="32"/>
        </w:rPr>
        <w:t>（精确到小数点后两位）=技术得分+商务得分+价格得分；</w:t>
      </w:r>
      <w:bookmarkEnd w:id="33"/>
    </w:p>
    <w:p w14:paraId="6E72D24D" w14:textId="77777777" w:rsidR="0030363A"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2．将综合</w:t>
      </w:r>
      <w:proofErr w:type="gramStart"/>
      <w:r>
        <w:rPr>
          <w:rFonts w:ascii="仿宋_GB2312" w:eastAsia="仿宋_GB2312" w:hAnsi="仿宋" w:hint="eastAsia"/>
          <w:sz w:val="32"/>
          <w:szCs w:val="32"/>
        </w:rPr>
        <w:t>评估分</w:t>
      </w:r>
      <w:proofErr w:type="gramEnd"/>
      <w:r>
        <w:rPr>
          <w:rFonts w:ascii="仿宋_GB2312" w:eastAsia="仿宋_GB2312" w:hAnsi="仿宋" w:hint="eastAsia"/>
          <w:sz w:val="32"/>
          <w:szCs w:val="32"/>
        </w:rPr>
        <w:t>从高到低排序，得分相同的，按技术得分高低顺序排列；</w:t>
      </w:r>
    </w:p>
    <w:p w14:paraId="4231E511" w14:textId="2C4896B8" w:rsidR="0030363A" w:rsidRDefault="00000000" w:rsidP="00330447">
      <w:pPr>
        <w:ind w:firstLineChars="200" w:firstLine="640"/>
        <w:rPr>
          <w:rFonts w:ascii="仿宋_GB2312" w:eastAsia="仿宋_GB2312" w:hAnsi="宋体" w:cs="Arial"/>
          <w:b/>
          <w:color w:val="000000"/>
          <w:sz w:val="24"/>
          <w:szCs w:val="21"/>
        </w:rPr>
      </w:pPr>
      <w:r>
        <w:rPr>
          <w:rFonts w:ascii="仿宋_GB2312" w:eastAsia="仿宋_GB2312" w:hAnsi="仿宋" w:hint="eastAsia"/>
          <w:sz w:val="32"/>
          <w:szCs w:val="32"/>
        </w:rPr>
        <w:t>3．评标委员会</w:t>
      </w:r>
      <w:proofErr w:type="gramStart"/>
      <w:r>
        <w:rPr>
          <w:rFonts w:ascii="仿宋_GB2312" w:eastAsia="仿宋_GB2312" w:hAnsi="仿宋" w:hint="eastAsia"/>
          <w:sz w:val="32"/>
          <w:szCs w:val="32"/>
        </w:rPr>
        <w:t>按排</w:t>
      </w:r>
      <w:proofErr w:type="gramEnd"/>
      <w:r>
        <w:rPr>
          <w:rFonts w:ascii="仿宋_GB2312" w:eastAsia="仿宋_GB2312" w:hAnsi="仿宋" w:hint="eastAsia"/>
          <w:sz w:val="32"/>
          <w:szCs w:val="32"/>
        </w:rPr>
        <w:t>名顺序推荐前两名为中标候选人。若排</w:t>
      </w:r>
      <w:r>
        <w:rPr>
          <w:rFonts w:ascii="仿宋_GB2312" w:eastAsia="仿宋_GB2312" w:hAnsi="仿宋" w:hint="eastAsia"/>
          <w:sz w:val="32"/>
          <w:szCs w:val="32"/>
        </w:rPr>
        <w:lastRenderedPageBreak/>
        <w:t>名第一的中标候选人放弃中标或被取消中标资格，采购人可顺选排名第二的为中标候选人。</w:t>
      </w:r>
    </w:p>
    <w:sectPr w:rsidR="0030363A" w:rsidSect="00647EF9">
      <w:pgSz w:w="11906" w:h="16838"/>
      <w:pgMar w:top="1474" w:right="1587" w:bottom="1474" w:left="1587" w:header="851" w:footer="992" w:gutter="0"/>
      <w:pgNumType w:fmt="numberInDash"/>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微软雅黑">
    <w:altName w:val="方正黑体_GBK"/>
    <w:panose1 w:val="020B0503020204020204"/>
    <w:charset w:val="86"/>
    <w:family w:val="swiss"/>
    <w:pitch w:val="variable"/>
    <w:sig w:usb0="80000287" w:usb1="2ACF3C50" w:usb2="00000016" w:usb3="00000000" w:csb0="0004001F" w:csb1="00000000"/>
  </w:font>
  <w:font w:name="楷体_GB2312">
    <w:altName w:val="微软雅黑"/>
    <w:charset w:val="86"/>
    <w:family w:val="modern"/>
    <w:pitch w:val="default"/>
    <w:sig w:usb0="00000000" w:usb1="00000000" w:usb2="0000000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2QyMmFhZTg2Njg5NDdmNGVhYjFkMDdhZjBkNzIyOTkifQ=="/>
  </w:docVars>
  <w:rsids>
    <w:rsidRoot w:val="31910A4A"/>
    <w:rsid w:val="F7F1E303"/>
    <w:rsid w:val="0030363A"/>
    <w:rsid w:val="00330447"/>
    <w:rsid w:val="00647EF9"/>
    <w:rsid w:val="00BF6BF7"/>
    <w:rsid w:val="31910A4A"/>
    <w:rsid w:val="77CB17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BF3884"/>
  <w15:docId w15:val="{27781146-1164-47D2-A628-D3B3DEB10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100" w:beforeAutospacing="1" w:after="100" w:afterAutospacing="1"/>
      <w:jc w:val="left"/>
    </w:pPr>
    <w:rPr>
      <w:kern w:val="0"/>
      <w:sz w:val="24"/>
    </w:rPr>
  </w:style>
  <w:style w:type="character" w:styleId="a4">
    <w:name w:val="Hyperlink"/>
    <w:uiPriority w:val="99"/>
    <w:unhideWhenUsed/>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406</Words>
  <Characters>2315</Characters>
  <Application>Microsoft Office Word</Application>
  <DocSecurity>0</DocSecurity>
  <Lines>19</Lines>
  <Paragraphs>5</Paragraphs>
  <ScaleCrop>false</ScaleCrop>
  <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莹</dc:creator>
  <cp:lastModifiedBy>超级管理员(admin)1690762326891</cp:lastModifiedBy>
  <cp:revision>3</cp:revision>
  <dcterms:created xsi:type="dcterms:W3CDTF">2024-04-03T11:21:00Z</dcterms:created>
  <dcterms:modified xsi:type="dcterms:W3CDTF">2024-05-10T08:43:00Z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CC27BEE7ACB84704A5D4B103F2431CAA_11</vt:lpwstr>
  </property>
</Properties>
</file>