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pStyle w:val="3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 w:cs="宋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i w:val="0"/>
          <w:caps w:val="0"/>
          <w:color w:val="auto"/>
          <w:spacing w:val="-20"/>
          <w:kern w:val="2"/>
          <w:sz w:val="44"/>
          <w:szCs w:val="44"/>
          <w:highlight w:val="none"/>
          <w:shd w:val="clear" w:color="auto" w:fill="auto"/>
          <w:lang w:val="en-US" w:eastAsia="zh-CN"/>
        </w:rPr>
        <w:fldChar w:fldCharType="begin"/>
      </w:r>
      <w:r>
        <w:rPr>
          <w:rFonts w:hint="eastAsia" w:ascii="方正小标宋简体" w:hAnsi="宋体" w:eastAsia="方正小标宋简体" w:cs="宋体"/>
          <w:b w:val="0"/>
          <w:bCs w:val="0"/>
          <w:i w:val="0"/>
          <w:caps w:val="0"/>
          <w:color w:val="auto"/>
          <w:spacing w:val="-20"/>
          <w:kern w:val="2"/>
          <w:sz w:val="44"/>
          <w:szCs w:val="44"/>
          <w:highlight w:val="none"/>
          <w:shd w:val="clear" w:color="auto" w:fill="auto"/>
          <w:lang w:val="en-US" w:eastAsia="zh-CN"/>
        </w:rPr>
        <w:instrText xml:space="preserve"> HYPERLINK "https://acpmp.agri.cn）进行线上提交，同时汇总填报《2026年度" </w:instrText>
      </w:r>
      <w:r>
        <w:rPr>
          <w:rFonts w:hint="eastAsia" w:ascii="方正小标宋简体" w:hAnsi="宋体" w:eastAsia="方正小标宋简体" w:cs="宋体"/>
          <w:b w:val="0"/>
          <w:bCs w:val="0"/>
          <w:i w:val="0"/>
          <w:caps w:val="0"/>
          <w:color w:val="auto"/>
          <w:spacing w:val="-20"/>
          <w:kern w:val="2"/>
          <w:sz w:val="44"/>
          <w:szCs w:val="44"/>
          <w:highlight w:val="none"/>
          <w:shd w:val="clear" w:color="auto" w:fill="auto"/>
          <w:lang w:val="en-US" w:eastAsia="zh-CN"/>
        </w:rPr>
        <w:fldChar w:fldCharType="separate"/>
      </w:r>
      <w:r>
        <w:rPr>
          <w:rStyle w:val="4"/>
          <w:rFonts w:hint="eastAsia" w:ascii="Times New Roman" w:hAnsi="Times New Roman" w:eastAsia="方正小标宋简体" w:cs="宋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2026</w:t>
      </w:r>
      <w:r>
        <w:rPr>
          <w:rStyle w:val="4"/>
          <w:rFonts w:hint="eastAsia" w:ascii="方正小标宋简体" w:hAnsi="宋体" w:eastAsia="方正小标宋简体" w:cs="宋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年度</w:t>
      </w:r>
      <w:r>
        <w:rPr>
          <w:rFonts w:hint="eastAsia" w:ascii="方正小标宋简体" w:hAnsi="宋体" w:eastAsia="方正小标宋简体" w:cs="宋体"/>
          <w:b w:val="0"/>
          <w:bCs w:val="0"/>
          <w:i w:val="0"/>
          <w:caps w:val="0"/>
          <w:color w:val="auto"/>
          <w:spacing w:val="-20"/>
          <w:kern w:val="2"/>
          <w:sz w:val="44"/>
          <w:szCs w:val="44"/>
          <w:highlight w:val="none"/>
          <w:shd w:val="clear" w:color="auto" w:fill="auto"/>
          <w:lang w:val="en-US" w:eastAsia="zh-CN"/>
        </w:rPr>
        <w:fldChar w:fldCharType="end"/>
      </w:r>
      <w:r>
        <w:rPr>
          <w:rFonts w:hint="eastAsia" w:ascii="方正小标宋简体" w:hAnsi="宋体" w:eastAsia="方正小标宋简体" w:cs="宋体"/>
          <w:b w:val="0"/>
          <w:bCs w:val="0"/>
          <w:i w:val="0"/>
          <w:caps w:val="0"/>
          <w:color w:val="auto"/>
          <w:spacing w:val="-20"/>
          <w:kern w:val="2"/>
          <w:sz w:val="44"/>
          <w:szCs w:val="44"/>
          <w:highlight w:val="none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 w:cs="宋体"/>
          <w:i w:val="0"/>
          <w:caps w:val="0"/>
          <w:color w:val="auto"/>
          <w:spacing w:val="-20"/>
          <w:kern w:val="2"/>
          <w:sz w:val="44"/>
          <w:szCs w:val="44"/>
          <w:highlight w:val="none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宋体"/>
          <w:i w:val="0"/>
          <w:caps w:val="0"/>
          <w:color w:val="auto"/>
          <w:spacing w:val="-20"/>
          <w:kern w:val="2"/>
          <w:sz w:val="44"/>
          <w:szCs w:val="44"/>
          <w:highlight w:val="none"/>
          <w:u w:val="none"/>
          <w:shd w:val="clear" w:color="auto" w:fill="auto"/>
          <w:lang w:val="en-US" w:eastAsia="zh-CN"/>
        </w:rPr>
        <w:t>区</w:t>
      </w:r>
      <w:r>
        <w:rPr>
          <w:rFonts w:hint="eastAsia" w:ascii="方正小标宋简体" w:hAnsi="宋体" w:eastAsia="方正小标宋简体" w:cs="宋体"/>
          <w:color w:val="auto"/>
          <w:spacing w:val="-20"/>
          <w:sz w:val="44"/>
          <w:szCs w:val="44"/>
          <w:highlight w:val="none"/>
          <w:lang w:val="en-US" w:eastAsia="zh-CN"/>
        </w:rPr>
        <w:t>广东省现代设施农业贷款贴息区级初审汇总表</w:t>
      </w:r>
    </w:p>
    <w:p>
      <w:pPr>
        <w:pStyle w:val="7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6"/>
        <w:tblW w:w="14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572"/>
        <w:gridCol w:w="1097"/>
        <w:gridCol w:w="1440"/>
        <w:gridCol w:w="1371"/>
        <w:gridCol w:w="3840"/>
        <w:gridCol w:w="3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申请贴息单位名称</w:t>
            </w:r>
          </w:p>
        </w:tc>
        <w:tc>
          <w:tcPr>
            <w:tcW w:w="10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申请贴息范围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企业申请贴息额</w:t>
            </w:r>
          </w:p>
        </w:tc>
        <w:tc>
          <w:tcPr>
            <w:tcW w:w="13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区审核贴息额</w:t>
            </w:r>
          </w:p>
        </w:tc>
        <w:tc>
          <w:tcPr>
            <w:tcW w:w="3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区级安排财政贴息资金情况</w:t>
            </w:r>
          </w:p>
        </w:tc>
        <w:tc>
          <w:tcPr>
            <w:tcW w:w="3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5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84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申请贴息单位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在广州市行政区域内注册登记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至申报截止日前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正常运营、生产。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至申报截止日前企业未受到本局农业行政处罚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0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0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5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0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5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0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0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57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09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7"/>
        <w:rPr>
          <w:rFonts w:hint="default" w:ascii="Times New Roman" w:hAnsi="Times New Roman" w:cs="Times New Roman"/>
          <w:color w:val="auto"/>
          <w:kern w:val="0"/>
          <w:sz w:val="18"/>
          <w:szCs w:val="18"/>
          <w:highlight w:val="none"/>
          <w:lang w:eastAsia="zh-CN"/>
        </w:rPr>
      </w:pPr>
    </w:p>
    <w:p>
      <w:r>
        <w:rPr>
          <w:rFonts w:hint="eastAsia" w:ascii="楷体_GB2312" w:hAnsi="楷体_GB2312" w:eastAsia="楷体_GB2312" w:cs="楷体_GB2312"/>
          <w:color w:val="auto"/>
          <w:kern w:val="0"/>
          <w:sz w:val="24"/>
          <w:szCs w:val="24"/>
          <w:highlight w:val="none"/>
          <w:lang w:eastAsia="zh-CN"/>
        </w:rPr>
        <w:t>填报说明：</w:t>
      </w:r>
      <w:r>
        <w:rPr>
          <w:rFonts w:hint="eastAsia" w:ascii="楷体_GB2312" w:hAnsi="楷体_GB2312" w:eastAsia="楷体_GB2312" w:cs="楷体_GB2312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申请贴息范围请选择设施种植、设施畜牧、设施渔业、农产品产地冷藏保鲜物流和烘干设施等。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59ED27"/>
    <w:multiLevelType w:val="singleLevel"/>
    <w:tmpl w:val="C459ED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37EAA"/>
    <w:rsid w:val="5923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200" w:leftChars="20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2026-01-19T01:39:00Z</dcterms:created>
  <dc:creator>谢曼莹1673944446715</dc:creator>
  <cp:lastModifiedBy>谢曼莹1673944446715</cp:lastModifiedBy>
  <dcterms:modified xsi:type="dcterms:W3CDTF">2026-01-19T01:40:44Z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